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>Ред за предоставяне на достъп до обществена информация.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 xml:space="preserve">І. Първият етап от предоставянето на достъп до обществена информация е подаването на писмено заявление или устно запитване. </w:t>
      </w:r>
    </w:p>
    <w:p w:rsidR="007E4EBC" w:rsidRPr="00767ECE" w:rsidRDefault="007E4EBC" w:rsidP="007E4EBC">
      <w:pPr>
        <w:spacing w:before="100" w:beforeAutospacing="1" w:after="120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 xml:space="preserve">Съгласно чл. </w:t>
      </w:r>
      <w:bookmarkStart w:id="0" w:name="to_paragraph_id28391870"/>
      <w:bookmarkEnd w:id="0"/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24, ал. 1 и ал. 2 от ЗДОИ достъп до обществена информация се предоставя въз основа на писмено заявление или устно запитване.</w:t>
      </w:r>
      <w:r w:rsidRPr="00767ECE">
        <w:rPr>
          <w:rFonts w:ascii="Times New Roman" w:hAnsi="Times New Roman"/>
          <w:sz w:val="24"/>
          <w:szCs w:val="24"/>
          <w:lang w:val="bg-BG" w:eastAsia="bg-BG"/>
        </w:rPr>
        <w:t xml:space="preserve"> Заявлението се счита за писмено и в случаите, когато е направено по електронен път на адреса на електронната поща по </w:t>
      </w:r>
      <w:hyperlink r:id="rId5" w:history="1">
        <w:r w:rsidRPr="00767EC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bg-BG" w:eastAsia="bg-BG"/>
          </w:rPr>
          <w:t>чл. 15, ал. 1, т. 4</w:t>
        </w:r>
      </w:hyperlink>
      <w:r w:rsidRPr="00767ECE">
        <w:rPr>
          <w:rFonts w:ascii="Times New Roman" w:hAnsi="Times New Roman"/>
          <w:sz w:val="24"/>
          <w:szCs w:val="24"/>
          <w:lang w:val="bg-BG" w:eastAsia="bg-BG"/>
        </w:rPr>
        <w:t xml:space="preserve"> от ЗДОИ или чрез платформата за достъп до обществена информация по </w:t>
      </w:r>
      <w:hyperlink r:id="rId6" w:history="1">
        <w:r w:rsidRPr="00767EC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bg-BG" w:eastAsia="bg-BG"/>
          </w:rPr>
          <w:t>чл. 15в</w:t>
        </w:r>
      </w:hyperlink>
      <w:r w:rsidRPr="00767ECE">
        <w:rPr>
          <w:rFonts w:ascii="Times New Roman" w:hAnsi="Times New Roman"/>
          <w:sz w:val="24"/>
          <w:szCs w:val="24"/>
          <w:lang w:val="bg-BG" w:eastAsia="bg-BG"/>
        </w:rPr>
        <w:t xml:space="preserve">. В тези случаи не се изисква подпис съгласно изискванията на </w:t>
      </w:r>
      <w:hyperlink r:id="rId7" w:history="1">
        <w:r w:rsidRPr="00767EC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  <w:lang w:val="bg-BG" w:eastAsia="bg-BG"/>
          </w:rPr>
          <w:t>Закона за електронния документ и електронния подпис</w:t>
        </w:r>
      </w:hyperlink>
      <w:r w:rsidRPr="00767ECE">
        <w:rPr>
          <w:rFonts w:ascii="Times New Roman" w:hAnsi="Times New Roman"/>
          <w:sz w:val="24"/>
          <w:szCs w:val="24"/>
          <w:lang w:val="bg-BG" w:eastAsia="bg-BG"/>
        </w:rPr>
        <w:t>.</w:t>
      </w:r>
      <w:bookmarkStart w:id="1" w:name="to_paragraph_id3218267"/>
      <w:bookmarkEnd w:id="1"/>
    </w:p>
    <w:p w:rsidR="007E4EBC" w:rsidRPr="00767ECE" w:rsidRDefault="007E4EBC" w:rsidP="007E4EBC">
      <w:pPr>
        <w:spacing w:before="100" w:beforeAutospacing="1" w:after="120"/>
        <w:ind w:firstLine="708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Съгласно чл. 20, ал. 1 и ал. 2 от ЗДОИ достъпът до обществена информация е безплатен. Разходите по предоставяне на обществена информация се заплащат по нормативи, определени от министъра на финансите, които не могат да превишават материалните разходи по предоставянето.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 xml:space="preserve">Съгласно </w:t>
      </w:r>
      <w:bookmarkStart w:id="2" w:name="to_paragraph_id3218275"/>
      <w:bookmarkEnd w:id="2"/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чл. 25, ал. 1 от ЗДОИ Заявлението за предоставяне на достъп до обществена информация съдържа: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1. трите имена, съответно наименованието и седалището на заявителя;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2. описание на исканата информация;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3. предпочитаната форма за предоставяне на достъп до исканата информация;</w:t>
      </w:r>
    </w:p>
    <w:p w:rsidR="007E4EBC" w:rsidRPr="00767ECE" w:rsidRDefault="007E4EBC" w:rsidP="007E4EBC">
      <w:pPr>
        <w:spacing w:after="120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4. адреса за кореспонденция със заявителя.</w:t>
      </w:r>
    </w:p>
    <w:p w:rsidR="007E4EBC" w:rsidRPr="00767ECE" w:rsidRDefault="007E4EBC" w:rsidP="007E4EBC">
      <w:pPr>
        <w:spacing w:before="100" w:beforeAutospacing="1" w:after="120"/>
        <w:ind w:firstLine="708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>ІІ. Вторият етап от предоставянето на достъп до обществена информация е разглеждане на заявлението.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 xml:space="preserve">Съгласно </w:t>
      </w:r>
      <w:bookmarkStart w:id="3" w:name="to_paragraph_id3218281"/>
      <w:bookmarkEnd w:id="3"/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чл</w:t>
      </w:r>
      <w:r w:rsidRPr="00767E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28, ал. 1 от ЗДОИ Заявленията за предоставяне на достъп до обществена информация се разглеждат във възможно най-кратък срок, но не по-късно от 14 дни след датата на регистриране.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ІІІ. Третият етап </w:t>
      </w: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>от предоставянето на достъп до обществена информация</w:t>
      </w:r>
      <w:r w:rsidRPr="00767ECE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е предоставяне или отказ за предоставяне на достъп до обществена информация.</w:t>
      </w:r>
    </w:p>
    <w:p w:rsidR="007E4EBC" w:rsidRPr="00767ECE" w:rsidRDefault="007E4EBC" w:rsidP="007E4EBC">
      <w:pPr>
        <w:spacing w:before="100" w:beforeAutospacing="1" w:after="12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pacing w:val="2"/>
          <w:sz w:val="24"/>
          <w:szCs w:val="24"/>
          <w:lang w:val="bg-BG" w:eastAsia="bg-BG"/>
        </w:rPr>
        <w:t>Съгласно чл</w:t>
      </w: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 xml:space="preserve">. </w:t>
      </w:r>
      <w:bookmarkStart w:id="4" w:name="to_paragraph_id28391871"/>
      <w:bookmarkEnd w:id="4"/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26 от ЗДОИ формите за предоставяне на достъп до обществена информация са: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1. преглед на информацията - оригинал или копие, или чрез публичен общодостъпен регистър;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2. устна справка;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3. копия на материален носител;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4. копия, предоставени по електронен път, или интернет адрес, където се съхраняват или са публикувани данните.</w:t>
      </w:r>
    </w:p>
    <w:p w:rsidR="00DC20A1" w:rsidRDefault="007E4EBC" w:rsidP="00DC20A1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lastRenderedPageBreak/>
        <w:t>За достъп до обществена информация могат да се използват една или повече от горепосочените форми.</w:t>
      </w:r>
    </w:p>
    <w:p w:rsidR="00DC20A1" w:rsidRPr="00767ECE" w:rsidRDefault="00DC20A1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Преглед</w:t>
      </w:r>
      <w:proofErr w:type="spellEnd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/</w:t>
      </w:r>
      <w:proofErr w:type="spellStart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четене</w:t>
      </w:r>
      <w:proofErr w:type="spellEnd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на</w:t>
      </w:r>
      <w:proofErr w:type="spellEnd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предоставената</w:t>
      </w:r>
      <w:proofErr w:type="spellEnd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>информация</w:t>
      </w:r>
      <w:proofErr w:type="spellEnd"/>
      <w:r w:rsidRPr="00DC20A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чрез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разглеждане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оригинали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копия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документи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извършва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в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стая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506 в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сградата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Министерството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правосъдието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ул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>. „</w:t>
      </w:r>
      <w:proofErr w:type="spellStart"/>
      <w:r w:rsidRPr="00DC20A1">
        <w:rPr>
          <w:rFonts w:ascii="Times New Roman" w:hAnsi="Times New Roman"/>
          <w:bCs/>
          <w:iCs/>
          <w:sz w:val="24"/>
          <w:szCs w:val="24"/>
        </w:rPr>
        <w:t>Славянска</w:t>
      </w:r>
      <w:proofErr w:type="spellEnd"/>
      <w:r w:rsidRPr="00DC20A1">
        <w:rPr>
          <w:rFonts w:ascii="Times New Roman" w:hAnsi="Times New Roman"/>
          <w:bCs/>
          <w:iCs/>
          <w:sz w:val="24"/>
          <w:szCs w:val="24"/>
        </w:rPr>
        <w:t>“ № 1.</w:t>
      </w:r>
      <w:bookmarkStart w:id="5" w:name="_GoBack"/>
      <w:bookmarkEnd w:id="5"/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Когато предпочитаната форма за предоставяне на достъп до обществена информация е копия, предоставени по електронен път, или интернет адрес, където се съхраняват или са публикувани данните, се определят и техническите параметри за запис на информацията.</w:t>
      </w:r>
    </w:p>
    <w:p w:rsidR="007E4EBC" w:rsidRPr="00767ECE" w:rsidRDefault="007E4EBC" w:rsidP="007E4EBC">
      <w:pPr>
        <w:spacing w:after="120" w:line="240" w:lineRule="atLeast"/>
        <w:ind w:firstLine="99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767ECE">
        <w:rPr>
          <w:rFonts w:ascii="Times New Roman" w:hAnsi="Times New Roman"/>
          <w:color w:val="000000"/>
          <w:sz w:val="24"/>
          <w:szCs w:val="24"/>
          <w:lang w:val="bg-BG"/>
        </w:rPr>
        <w:t>Лица, които имат зрителни увреждания или увреждания на слухово-говорния апарат, могат да поискат достъп във форма, отговаряща на техните комуникативни възможности.</w:t>
      </w:r>
    </w:p>
    <w:p w:rsidR="007E4EBC" w:rsidRPr="00767ECE" w:rsidRDefault="007E4EBC" w:rsidP="007E4EBC">
      <w:pPr>
        <w:autoSpaceDE w:val="0"/>
        <w:autoSpaceDN w:val="0"/>
        <w:spacing w:after="120"/>
        <w:ind w:firstLine="48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</w:pP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 xml:space="preserve">При предоставяне на обществена информация дължимите разходи се определят </w:t>
      </w:r>
      <w:r w:rsidR="00767ECE"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>по нормативи, определени от министъра на финансите, които не могат да превишават материалните разходи по предоставянето</w:t>
      </w:r>
      <w:r w:rsidRPr="00767ECE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bg-BG" w:eastAsia="bg-BG"/>
        </w:rPr>
        <w:t>: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Хартия А4 (1 лист) - 0,01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Хартия А3 (1 лист) - 0,02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>Разход за тонер за едностранно отпечатване на лист хартия А4 (за 1 стр.) - 0,02 лв.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>Разход за тонер за едностранно отпечатване на лист хартия А3 (за 1 стр.) - 0,04 лв.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CD диск 700 MB (за 1 бр.) - 0,26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DVD диск 4,7 MB (за 1 бр.) - 0,30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DVD диск 8,5 MB (за 1 бр.) - 0,67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USB флаш памет 4 GB (за 1 бр.) - 3,46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USB флаш памет 8 GB (за 1 бр.) - 5,72 лв. </w:t>
      </w:r>
    </w:p>
    <w:p w:rsidR="00767ECE" w:rsidRPr="00D664A2" w:rsidRDefault="00767ECE" w:rsidP="00767EC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D664A2">
        <w:rPr>
          <w:rFonts w:ascii="Times New Roman" w:hAnsi="Times New Roman"/>
          <w:iCs/>
          <w:sz w:val="24"/>
          <w:szCs w:val="24"/>
          <w:lang w:val="bg-BG"/>
        </w:rPr>
        <w:t xml:space="preserve">USB флаш памет 16 GB (за 1 бр.) - 7,93 лв. </w:t>
      </w:r>
    </w:p>
    <w:p w:rsidR="007E4EBC" w:rsidRPr="00767ECE" w:rsidRDefault="00767ECE" w:rsidP="00767ECE">
      <w:pPr>
        <w:pStyle w:val="ListParagraph"/>
        <w:numPr>
          <w:ilvl w:val="0"/>
          <w:numId w:val="1"/>
        </w:numPr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 w:rsidRPr="00767ECE">
        <w:rPr>
          <w:rFonts w:ascii="Times New Roman" w:hAnsi="Times New Roman"/>
          <w:iCs/>
          <w:sz w:val="24"/>
          <w:szCs w:val="24"/>
          <w:lang w:val="bg-BG"/>
        </w:rPr>
        <w:t>USB флаш памет 32 GB (за 1 бр.) - 9,47 лв.</w:t>
      </w:r>
    </w:p>
    <w:p w:rsidR="007E4EBC" w:rsidRPr="00767ECE" w:rsidRDefault="007E4EBC" w:rsidP="007E4EBC">
      <w:pPr>
        <w:autoSpaceDE w:val="0"/>
        <w:autoSpaceDN w:val="0"/>
        <w:spacing w:after="120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4EBC" w:rsidRPr="00767ECE" w:rsidRDefault="007E4EBC" w:rsidP="007E4EBC">
      <w:pPr>
        <w:autoSpaceDE w:val="0"/>
        <w:autoSpaceDN w:val="0"/>
        <w:ind w:firstLine="482"/>
        <w:jc w:val="both"/>
        <w:rPr>
          <w:rFonts w:ascii="Times New Roman" w:hAnsi="Times New Roman"/>
          <w:sz w:val="24"/>
          <w:szCs w:val="24"/>
          <w:lang w:val="bg-BG"/>
        </w:rPr>
      </w:pPr>
      <w:r w:rsidRPr="00767ECE">
        <w:rPr>
          <w:rFonts w:ascii="Times New Roman" w:hAnsi="Times New Roman"/>
          <w:b/>
          <w:bCs/>
          <w:sz w:val="24"/>
          <w:szCs w:val="24"/>
          <w:lang w:val="bg-BG"/>
        </w:rPr>
        <w:t xml:space="preserve">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на информацията. </w:t>
      </w:r>
      <w:r w:rsidRPr="00767ECE">
        <w:rPr>
          <w:rFonts w:ascii="Times New Roman" w:hAnsi="Times New Roman"/>
          <w:sz w:val="24"/>
          <w:szCs w:val="24"/>
          <w:lang w:val="bg-BG"/>
        </w:rPr>
        <w:t>Размерът на таксите се определя с тарифа, приета от Министерския съвет. До приемането на тарифата разходите се определят в зависимост от материалните разходи за предоставянето на информацията.</w:t>
      </w:r>
    </w:p>
    <w:p w:rsidR="00740894" w:rsidRPr="00767ECE" w:rsidRDefault="00740894">
      <w:pPr>
        <w:rPr>
          <w:lang w:val="bg-BG"/>
        </w:rPr>
      </w:pPr>
    </w:p>
    <w:sectPr w:rsidR="00740894" w:rsidRPr="00767E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36C"/>
    <w:multiLevelType w:val="hybridMultilevel"/>
    <w:tmpl w:val="1436ABC8"/>
    <w:lvl w:ilvl="0" w:tplc="2E003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5A20DA"/>
    <w:multiLevelType w:val="hybridMultilevel"/>
    <w:tmpl w:val="ED44FA1A"/>
    <w:lvl w:ilvl="0" w:tplc="B9987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E1"/>
    <w:rsid w:val="00022391"/>
    <w:rsid w:val="000D0A0C"/>
    <w:rsid w:val="004C7D09"/>
    <w:rsid w:val="006473B9"/>
    <w:rsid w:val="00717CE1"/>
    <w:rsid w:val="00740894"/>
    <w:rsid w:val="00767ECE"/>
    <w:rsid w:val="0078735D"/>
    <w:rsid w:val="007E4EBC"/>
    <w:rsid w:val="009D0286"/>
    <w:rsid w:val="00AB3E76"/>
    <w:rsid w:val="00D05E83"/>
    <w:rsid w:val="00D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F99B"/>
  <w15:docId w15:val="{0BAB990B-07D2-4845-ACBB-AF61CB52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EBC"/>
    <w:rPr>
      <w:color w:val="0000FF"/>
      <w:u w:val="single"/>
    </w:rPr>
  </w:style>
  <w:style w:type="paragraph" w:styleId="NoSpacing">
    <w:name w:val="No Spacing"/>
    <w:uiPriority w:val="1"/>
    <w:qFormat/>
    <w:rsid w:val="00767E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6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536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752&amp;ToPar=Art15&#1074;&amp;Type=201/" TargetMode="External"/><Relationship Id="rId5" Type="http://schemas.openxmlformats.org/officeDocument/2006/relationships/hyperlink" Target="apis://Base=NARH&amp;DocCode=4752&amp;ToPar=Art15_Al1_Pt4&amp;Type=20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Tasheva</dc:creator>
  <cp:keywords/>
  <dc:description/>
  <cp:lastModifiedBy>Yuliya Borisova</cp:lastModifiedBy>
  <cp:revision>4</cp:revision>
  <dcterms:created xsi:type="dcterms:W3CDTF">2022-06-16T10:16:00Z</dcterms:created>
  <dcterms:modified xsi:type="dcterms:W3CDTF">2022-06-16T10:17:00Z</dcterms:modified>
</cp:coreProperties>
</file>